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DA797" w14:textId="3D76BFFD" w:rsidR="00AE2998" w:rsidRDefault="00F235D9" w:rsidP="00F235D9">
      <w:pPr>
        <w:jc w:val="center"/>
      </w:pPr>
      <w:r w:rsidRPr="00CE5B89">
        <w:rPr>
          <w:rFonts w:ascii="TH SarabunPSK" w:hAnsi="TH SarabunPSK" w:cs="TH SarabunPSK"/>
          <w:noProof/>
        </w:rPr>
        <w:drawing>
          <wp:anchor distT="0" distB="0" distL="114300" distR="114300" simplePos="0" relativeHeight="251659264" behindDoc="0" locked="0" layoutInCell="1" allowOverlap="1" wp14:anchorId="0FB033CA" wp14:editId="1ED646FF">
            <wp:simplePos x="0" y="0"/>
            <wp:positionH relativeFrom="column">
              <wp:posOffset>2457450</wp:posOffset>
            </wp:positionH>
            <wp:positionV relativeFrom="paragraph">
              <wp:posOffset>-542925</wp:posOffset>
            </wp:positionV>
            <wp:extent cx="923925" cy="1079500"/>
            <wp:effectExtent l="0" t="0" r="9525" b="6350"/>
            <wp:wrapNone/>
            <wp:docPr id="3" name="รูปภาพ 1" descr="ครุฑ (โปร่งใส)"/>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รูปภาพ 3" descr="ครุฑ (โปร่งใส)"/>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1079500"/>
                    </a:xfrm>
                    <a:prstGeom prst="rect">
                      <a:avLst/>
                    </a:prstGeom>
                    <a:noFill/>
                  </pic:spPr>
                </pic:pic>
              </a:graphicData>
            </a:graphic>
            <wp14:sizeRelH relativeFrom="page">
              <wp14:pctWidth>0</wp14:pctWidth>
            </wp14:sizeRelH>
            <wp14:sizeRelV relativeFrom="page">
              <wp14:pctHeight>0</wp14:pctHeight>
            </wp14:sizeRelV>
          </wp:anchor>
        </w:drawing>
      </w:r>
    </w:p>
    <w:p w14:paraId="7B81AD46" w14:textId="77777777" w:rsidR="00F235D9" w:rsidRPr="00F235D9" w:rsidRDefault="00F235D9" w:rsidP="00F235D9"/>
    <w:p w14:paraId="395D843C" w14:textId="77777777" w:rsidR="00F235D9" w:rsidRDefault="00F235D9" w:rsidP="00F235D9"/>
    <w:p w14:paraId="4CB33EE2" w14:textId="77777777" w:rsidR="00F235D9" w:rsidRPr="00F235D9" w:rsidRDefault="00F235D9" w:rsidP="00F235D9">
      <w:pPr>
        <w:tabs>
          <w:tab w:val="left" w:pos="3930"/>
        </w:tabs>
        <w:jc w:val="center"/>
        <w:rPr>
          <w:rFonts w:asciiTheme="majorBidi" w:hAnsiTheme="majorBidi" w:cstheme="majorBidi"/>
          <w:sz w:val="32"/>
          <w:szCs w:val="40"/>
          <w:lang w:val="en"/>
        </w:rPr>
      </w:pPr>
      <w:r w:rsidRPr="00F235D9">
        <w:rPr>
          <w:rFonts w:asciiTheme="majorBidi" w:hAnsiTheme="majorBidi" w:cstheme="majorBidi"/>
          <w:sz w:val="32"/>
          <w:szCs w:val="40"/>
          <w:lang w:val="en"/>
        </w:rPr>
        <w:t>Announcement of the Bangkok Yai Metropolitan Police Station</w:t>
      </w:r>
    </w:p>
    <w:p w14:paraId="1380419D" w14:textId="77777777" w:rsidR="00F235D9" w:rsidRPr="00F235D9" w:rsidRDefault="00F235D9" w:rsidP="00F235D9">
      <w:pPr>
        <w:tabs>
          <w:tab w:val="left" w:pos="3930"/>
        </w:tabs>
        <w:jc w:val="center"/>
        <w:rPr>
          <w:rFonts w:asciiTheme="majorBidi" w:hAnsiTheme="majorBidi" w:cstheme="majorBidi"/>
          <w:sz w:val="32"/>
          <w:szCs w:val="40"/>
          <w:lang w:val="en"/>
        </w:rPr>
      </w:pPr>
      <w:r w:rsidRPr="00F235D9">
        <w:rPr>
          <w:rFonts w:asciiTheme="majorBidi" w:hAnsiTheme="majorBidi" w:cstheme="majorBidi"/>
          <w:sz w:val="32"/>
          <w:szCs w:val="40"/>
          <w:lang w:val="en"/>
        </w:rPr>
        <w:t>Regarding the Anti-Bribery Policy</w:t>
      </w:r>
    </w:p>
    <w:p w14:paraId="3A61F1E3" w14:textId="7F5C1B12" w:rsidR="00F235D9" w:rsidRPr="0095459A" w:rsidRDefault="00F235D9" w:rsidP="00F235D9">
      <w:pPr>
        <w:tabs>
          <w:tab w:val="left" w:pos="3930"/>
        </w:tabs>
        <w:jc w:val="center"/>
        <w:rPr>
          <w:rFonts w:asciiTheme="majorBidi" w:hAnsiTheme="majorBidi" w:cstheme="majorBidi" w:hint="cs"/>
        </w:rPr>
      </w:pPr>
      <w:r w:rsidRPr="00F235D9">
        <w:rPr>
          <w:rFonts w:asciiTheme="majorBidi" w:hAnsiTheme="majorBidi" w:cstheme="majorBidi"/>
          <w:sz w:val="32"/>
          <w:szCs w:val="40"/>
          <w:lang w:val="en"/>
        </w:rPr>
        <w:t>for the fiscal year 202</w:t>
      </w:r>
      <w:r w:rsidR="00CF4D57" w:rsidRPr="00CF4D57">
        <w:rPr>
          <w:rFonts w:asciiTheme="majorBidi" w:hAnsiTheme="majorBidi" w:cstheme="majorBidi" w:hint="cs"/>
          <w:sz w:val="28"/>
          <w:szCs w:val="36"/>
          <w:cs/>
          <w:lang w:val="en"/>
        </w:rPr>
        <w:t>6</w:t>
      </w:r>
    </w:p>
    <w:p w14:paraId="6A3B685F" w14:textId="77777777" w:rsidR="0095459A" w:rsidRPr="0095459A" w:rsidRDefault="0095459A" w:rsidP="0095459A">
      <w:pPr>
        <w:tabs>
          <w:tab w:val="left" w:pos="3930"/>
        </w:tabs>
        <w:rPr>
          <w:rFonts w:asciiTheme="majorBidi" w:hAnsiTheme="majorBidi" w:cstheme="majorBidi"/>
          <w:b/>
          <w:bCs/>
          <w:sz w:val="32"/>
          <w:szCs w:val="40"/>
        </w:rPr>
      </w:pPr>
      <w:r w:rsidRPr="0095459A">
        <w:rPr>
          <w:rFonts w:asciiTheme="majorBidi" w:hAnsiTheme="majorBidi" w:cstheme="majorBidi"/>
          <w:b/>
          <w:bCs/>
          <w:sz w:val="32"/>
          <w:szCs w:val="40"/>
        </w:rPr>
        <w:t>Reference</w:t>
      </w:r>
    </w:p>
    <w:p w14:paraId="041FFA74" w14:textId="77777777" w:rsidR="0095459A" w:rsidRPr="0095459A" w:rsidRDefault="0095459A" w:rsidP="0095459A">
      <w:pPr>
        <w:tabs>
          <w:tab w:val="left" w:pos="3930"/>
        </w:tabs>
        <w:ind w:firstLine="1418"/>
        <w:rPr>
          <w:rFonts w:asciiTheme="majorBidi" w:hAnsiTheme="majorBidi" w:cstheme="majorBidi"/>
          <w:sz w:val="32"/>
          <w:szCs w:val="40"/>
        </w:rPr>
      </w:pPr>
      <w:r w:rsidRPr="0095459A">
        <w:rPr>
          <w:rFonts w:asciiTheme="majorBidi" w:hAnsiTheme="majorBidi" w:cstheme="majorBidi"/>
          <w:sz w:val="32"/>
          <w:szCs w:val="40"/>
        </w:rPr>
        <w:t>In accordance with Section 128, Paragraph 1 of the Organic Act on Anti-Corruption, B.E. 2561 (2018), and the Code of Ethics for Police Officers, B.E. 2564 (2021), Clause 2(2) and Clause 2(4), along with the Revised National Anti-Corruption Reform Plan, Bangkok Yai Metropolitan Police Station hereby declares its commitment to the Anti-Bribery and No Gift Policy (No Gift Policy).</w:t>
      </w:r>
    </w:p>
    <w:p w14:paraId="59D7E3DE" w14:textId="109271A2" w:rsidR="0095459A" w:rsidRPr="0095459A" w:rsidRDefault="0095459A" w:rsidP="0095459A">
      <w:pPr>
        <w:tabs>
          <w:tab w:val="left" w:pos="3930"/>
        </w:tabs>
        <w:rPr>
          <w:rFonts w:asciiTheme="majorBidi" w:hAnsiTheme="majorBidi" w:cstheme="majorBidi"/>
          <w:sz w:val="32"/>
          <w:szCs w:val="40"/>
        </w:rPr>
      </w:pPr>
    </w:p>
    <w:p w14:paraId="4A4DB089" w14:textId="77777777" w:rsidR="0095459A" w:rsidRPr="0095459A" w:rsidRDefault="0095459A" w:rsidP="0095459A">
      <w:pPr>
        <w:tabs>
          <w:tab w:val="left" w:pos="3930"/>
        </w:tabs>
        <w:rPr>
          <w:rFonts w:asciiTheme="majorBidi" w:hAnsiTheme="majorBidi" w:cstheme="majorBidi"/>
          <w:b/>
          <w:bCs/>
          <w:sz w:val="32"/>
          <w:szCs w:val="40"/>
        </w:rPr>
      </w:pPr>
      <w:r w:rsidRPr="0095459A">
        <w:rPr>
          <w:rFonts w:asciiTheme="majorBidi" w:hAnsiTheme="majorBidi" w:cstheme="majorBidi"/>
          <w:b/>
          <w:bCs/>
          <w:sz w:val="32"/>
          <w:szCs w:val="40"/>
        </w:rPr>
        <w:t>1. Objectives</w:t>
      </w:r>
    </w:p>
    <w:p w14:paraId="217A5F66" w14:textId="77777777" w:rsidR="0095459A" w:rsidRPr="0095459A" w:rsidRDefault="0095459A" w:rsidP="0095459A">
      <w:pPr>
        <w:tabs>
          <w:tab w:val="left" w:pos="3930"/>
        </w:tabs>
        <w:rPr>
          <w:rFonts w:asciiTheme="majorBidi" w:hAnsiTheme="majorBidi" w:cstheme="majorBidi"/>
          <w:sz w:val="32"/>
          <w:szCs w:val="40"/>
        </w:rPr>
      </w:pPr>
      <w:r w:rsidRPr="0095459A">
        <w:rPr>
          <w:rFonts w:asciiTheme="majorBidi" w:hAnsiTheme="majorBidi" w:cstheme="majorBidi"/>
          <w:sz w:val="32"/>
          <w:szCs w:val="40"/>
        </w:rPr>
        <w:t>1.1 To prevent and reduce the risk of bribery or conflict of interest in all forms among officers of Bangkok Yai Metropolitan Police Station.</w:t>
      </w:r>
      <w:r w:rsidRPr="0095459A">
        <w:rPr>
          <w:rFonts w:asciiTheme="majorBidi" w:hAnsiTheme="majorBidi" w:cstheme="majorBidi"/>
          <w:sz w:val="32"/>
          <w:szCs w:val="40"/>
        </w:rPr>
        <w:br/>
        <w:t>1.2 To foster a culture of rejecting gifts or other benefits obtained from the performance of official duties.</w:t>
      </w:r>
      <w:r w:rsidRPr="0095459A">
        <w:rPr>
          <w:rFonts w:asciiTheme="majorBidi" w:hAnsiTheme="majorBidi" w:cstheme="majorBidi"/>
          <w:sz w:val="32"/>
          <w:szCs w:val="40"/>
        </w:rPr>
        <w:br/>
        <w:t>1.3 To promote integrity, transparency, and ethical behavior in public service.</w:t>
      </w:r>
      <w:r w:rsidRPr="0095459A">
        <w:rPr>
          <w:rFonts w:asciiTheme="majorBidi" w:hAnsiTheme="majorBidi" w:cstheme="majorBidi"/>
          <w:sz w:val="32"/>
          <w:szCs w:val="40"/>
        </w:rPr>
        <w:br/>
        <w:t>1.4 To define preventive measures, practical guidelines, and mechanisms for dealing with bribery.</w:t>
      </w:r>
      <w:r w:rsidRPr="0095459A">
        <w:rPr>
          <w:rFonts w:asciiTheme="majorBidi" w:hAnsiTheme="majorBidi" w:cstheme="majorBidi"/>
          <w:sz w:val="32"/>
          <w:szCs w:val="40"/>
        </w:rPr>
        <w:br/>
        <w:t>1.5 To ensure that all officers comply with legal standards in receiving hospitality or gifts.</w:t>
      </w:r>
      <w:r w:rsidRPr="0095459A">
        <w:rPr>
          <w:rFonts w:asciiTheme="majorBidi" w:hAnsiTheme="majorBidi" w:cstheme="majorBidi"/>
          <w:sz w:val="32"/>
          <w:szCs w:val="40"/>
        </w:rPr>
        <w:br/>
        <w:t>1.6 To align the station’s operations with the National Strategy, Anti-Corruption Master Plan, and Integrity and Transparency Assessment (ITA) standards.</w:t>
      </w:r>
    </w:p>
    <w:p w14:paraId="6EAA878C" w14:textId="5D1E0048" w:rsidR="0095459A" w:rsidRPr="0095459A" w:rsidRDefault="0095459A" w:rsidP="0095459A">
      <w:pPr>
        <w:tabs>
          <w:tab w:val="left" w:pos="3930"/>
        </w:tabs>
        <w:rPr>
          <w:rFonts w:asciiTheme="majorBidi" w:hAnsiTheme="majorBidi" w:cstheme="majorBidi"/>
          <w:sz w:val="32"/>
          <w:szCs w:val="40"/>
        </w:rPr>
      </w:pPr>
    </w:p>
    <w:p w14:paraId="3BA2701B" w14:textId="77777777" w:rsidR="0095459A" w:rsidRDefault="0095459A" w:rsidP="0095459A">
      <w:pPr>
        <w:tabs>
          <w:tab w:val="left" w:pos="3930"/>
        </w:tabs>
        <w:rPr>
          <w:rFonts w:asciiTheme="majorBidi" w:hAnsiTheme="majorBidi" w:cstheme="majorBidi"/>
          <w:b/>
          <w:bCs/>
          <w:sz w:val="32"/>
          <w:szCs w:val="40"/>
        </w:rPr>
      </w:pPr>
    </w:p>
    <w:p w14:paraId="403C0197" w14:textId="77777777" w:rsidR="0095459A" w:rsidRDefault="0095459A" w:rsidP="0095459A">
      <w:pPr>
        <w:tabs>
          <w:tab w:val="left" w:pos="3930"/>
        </w:tabs>
        <w:rPr>
          <w:rFonts w:asciiTheme="majorBidi" w:hAnsiTheme="majorBidi" w:cstheme="majorBidi"/>
          <w:b/>
          <w:bCs/>
          <w:sz w:val="32"/>
          <w:szCs w:val="40"/>
        </w:rPr>
      </w:pPr>
    </w:p>
    <w:p w14:paraId="1F1EE83E" w14:textId="61B38D2E" w:rsidR="0095459A" w:rsidRPr="0095459A" w:rsidRDefault="0095459A" w:rsidP="0095459A">
      <w:pPr>
        <w:tabs>
          <w:tab w:val="left" w:pos="3930"/>
        </w:tabs>
        <w:rPr>
          <w:rFonts w:asciiTheme="majorBidi" w:hAnsiTheme="majorBidi" w:cstheme="majorBidi"/>
          <w:b/>
          <w:bCs/>
          <w:sz w:val="32"/>
          <w:szCs w:val="40"/>
        </w:rPr>
      </w:pPr>
      <w:r w:rsidRPr="0095459A">
        <w:rPr>
          <w:rFonts w:asciiTheme="majorBidi" w:hAnsiTheme="majorBidi" w:cstheme="majorBidi"/>
          <w:b/>
          <w:bCs/>
          <w:sz w:val="32"/>
          <w:szCs w:val="40"/>
        </w:rPr>
        <w:lastRenderedPageBreak/>
        <w:t>2. Scope of Application</w:t>
      </w:r>
    </w:p>
    <w:p w14:paraId="7FC05907" w14:textId="77777777" w:rsidR="0095459A" w:rsidRPr="0095459A" w:rsidRDefault="0095459A" w:rsidP="0095459A">
      <w:pPr>
        <w:tabs>
          <w:tab w:val="left" w:pos="3930"/>
        </w:tabs>
        <w:rPr>
          <w:rFonts w:asciiTheme="majorBidi" w:hAnsiTheme="majorBidi" w:cstheme="majorBidi"/>
          <w:sz w:val="32"/>
          <w:szCs w:val="40"/>
        </w:rPr>
      </w:pPr>
      <w:r w:rsidRPr="0095459A">
        <w:rPr>
          <w:rFonts w:asciiTheme="majorBidi" w:hAnsiTheme="majorBidi" w:cstheme="majorBidi"/>
          <w:sz w:val="32"/>
          <w:szCs w:val="40"/>
        </w:rPr>
        <w:t>This policy applies to all officers and personnel under the Bangkok Yai Metropolitan Police Station.</w:t>
      </w:r>
    </w:p>
    <w:p w14:paraId="3B56931A" w14:textId="77777777" w:rsidR="0095459A" w:rsidRPr="0095459A" w:rsidRDefault="0095459A" w:rsidP="0095459A">
      <w:pPr>
        <w:tabs>
          <w:tab w:val="left" w:pos="3930"/>
        </w:tabs>
        <w:rPr>
          <w:rFonts w:asciiTheme="majorBidi" w:hAnsiTheme="majorBidi" w:cstheme="majorBidi"/>
          <w:b/>
          <w:bCs/>
          <w:sz w:val="32"/>
          <w:szCs w:val="40"/>
        </w:rPr>
      </w:pPr>
      <w:r w:rsidRPr="0095459A">
        <w:rPr>
          <w:rFonts w:asciiTheme="majorBidi" w:hAnsiTheme="majorBidi" w:cstheme="majorBidi"/>
          <w:b/>
          <w:bCs/>
          <w:sz w:val="32"/>
          <w:szCs w:val="40"/>
        </w:rPr>
        <w:t>3. Definitions</w:t>
      </w:r>
    </w:p>
    <w:p w14:paraId="03562D1B" w14:textId="77777777" w:rsidR="0095459A" w:rsidRPr="0095459A" w:rsidRDefault="0095459A" w:rsidP="0095459A">
      <w:pPr>
        <w:numPr>
          <w:ilvl w:val="0"/>
          <w:numId w:val="7"/>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Bribery:</w:t>
      </w:r>
      <w:r w:rsidRPr="0095459A">
        <w:rPr>
          <w:rFonts w:asciiTheme="majorBidi" w:hAnsiTheme="majorBidi" w:cstheme="majorBidi"/>
          <w:sz w:val="32"/>
          <w:szCs w:val="40"/>
        </w:rPr>
        <w:t xml:space="preserve"> Refers to the offering, giving, receiving, or soliciting of anything of value with the intention of influencing official actions.</w:t>
      </w:r>
    </w:p>
    <w:p w14:paraId="1C0D246D" w14:textId="77777777" w:rsidR="0095459A" w:rsidRPr="0095459A" w:rsidRDefault="0095459A" w:rsidP="0095459A">
      <w:pPr>
        <w:numPr>
          <w:ilvl w:val="0"/>
          <w:numId w:val="7"/>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Official Duties:</w:t>
      </w:r>
      <w:r w:rsidRPr="0095459A">
        <w:rPr>
          <w:rFonts w:asciiTheme="majorBidi" w:hAnsiTheme="majorBidi" w:cstheme="majorBidi"/>
          <w:sz w:val="32"/>
          <w:szCs w:val="40"/>
        </w:rPr>
        <w:t xml:space="preserve"> Duties performed by state officials under legal authority.</w:t>
      </w:r>
    </w:p>
    <w:p w14:paraId="3F3B253E" w14:textId="77777777" w:rsidR="0095459A" w:rsidRPr="0095459A" w:rsidRDefault="0095459A" w:rsidP="0095459A">
      <w:pPr>
        <w:numPr>
          <w:ilvl w:val="0"/>
          <w:numId w:val="7"/>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Supervisor:</w:t>
      </w:r>
      <w:r w:rsidRPr="0095459A">
        <w:rPr>
          <w:rFonts w:asciiTheme="majorBidi" w:hAnsiTheme="majorBidi" w:cstheme="majorBidi"/>
          <w:sz w:val="32"/>
          <w:szCs w:val="40"/>
        </w:rPr>
        <w:t xml:space="preserve"> A person with responsibility for oversight, command, and performance monitoring.</w:t>
      </w:r>
    </w:p>
    <w:p w14:paraId="5B10857A" w14:textId="77777777" w:rsidR="0095459A" w:rsidRPr="0095459A" w:rsidRDefault="0095459A" w:rsidP="0095459A">
      <w:pPr>
        <w:numPr>
          <w:ilvl w:val="0"/>
          <w:numId w:val="7"/>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Subordinate:</w:t>
      </w:r>
      <w:r w:rsidRPr="0095459A">
        <w:rPr>
          <w:rFonts w:asciiTheme="majorBidi" w:hAnsiTheme="majorBidi" w:cstheme="majorBidi"/>
          <w:sz w:val="32"/>
          <w:szCs w:val="40"/>
        </w:rPr>
        <w:t xml:space="preserve"> Police officers under the command of the Bangkok Yai Metropolitan Police Station, excluding supervisory personnel.</w:t>
      </w:r>
    </w:p>
    <w:p w14:paraId="0332CB14" w14:textId="77777777" w:rsidR="0095459A" w:rsidRPr="0095459A" w:rsidRDefault="0095459A" w:rsidP="0095459A">
      <w:pPr>
        <w:tabs>
          <w:tab w:val="left" w:pos="3930"/>
        </w:tabs>
        <w:rPr>
          <w:rFonts w:asciiTheme="majorBidi" w:hAnsiTheme="majorBidi" w:cstheme="majorBidi"/>
          <w:b/>
          <w:bCs/>
          <w:sz w:val="32"/>
          <w:szCs w:val="40"/>
        </w:rPr>
      </w:pPr>
      <w:r w:rsidRPr="0095459A">
        <w:rPr>
          <w:rFonts w:asciiTheme="majorBidi" w:hAnsiTheme="majorBidi" w:cstheme="majorBidi"/>
          <w:b/>
          <w:bCs/>
          <w:sz w:val="32"/>
          <w:szCs w:val="40"/>
        </w:rPr>
        <w:t>4. Policy Provisions</w:t>
      </w:r>
    </w:p>
    <w:p w14:paraId="4EA5636E" w14:textId="77777777" w:rsidR="0095459A" w:rsidRPr="0095459A" w:rsidRDefault="0095459A" w:rsidP="0095459A">
      <w:pPr>
        <w:tabs>
          <w:tab w:val="left" w:pos="3930"/>
        </w:tabs>
        <w:rPr>
          <w:rFonts w:asciiTheme="majorBidi" w:hAnsiTheme="majorBidi" w:cstheme="majorBidi"/>
          <w:sz w:val="32"/>
          <w:szCs w:val="40"/>
        </w:rPr>
      </w:pPr>
      <w:r w:rsidRPr="0095459A">
        <w:rPr>
          <w:rFonts w:asciiTheme="majorBidi" w:hAnsiTheme="majorBidi" w:cstheme="majorBidi"/>
          <w:sz w:val="32"/>
          <w:szCs w:val="40"/>
        </w:rPr>
        <w:t>All officers must strictly refrain from soliciting or receiving gifts, benefits, or any other form of gratification in connection with their official duties, except as permitted by law and under applicable ethical guidelines. This includes post-factum gifts which may imply a conflict of interest.</w:t>
      </w:r>
    </w:p>
    <w:p w14:paraId="06ED36F2" w14:textId="77777777" w:rsidR="0095459A" w:rsidRPr="0095459A" w:rsidRDefault="0095459A" w:rsidP="0095459A">
      <w:pPr>
        <w:tabs>
          <w:tab w:val="left" w:pos="3930"/>
        </w:tabs>
        <w:rPr>
          <w:rFonts w:asciiTheme="majorBidi" w:hAnsiTheme="majorBidi" w:cstheme="majorBidi"/>
          <w:b/>
          <w:bCs/>
          <w:sz w:val="32"/>
          <w:szCs w:val="40"/>
        </w:rPr>
      </w:pPr>
      <w:r w:rsidRPr="0095459A">
        <w:rPr>
          <w:rFonts w:asciiTheme="majorBidi" w:hAnsiTheme="majorBidi" w:cstheme="majorBidi"/>
          <w:b/>
          <w:bCs/>
          <w:sz w:val="32"/>
          <w:szCs w:val="40"/>
        </w:rPr>
        <w:t>5. Disciplinary Measures</w:t>
      </w:r>
    </w:p>
    <w:p w14:paraId="556185E1" w14:textId="77777777" w:rsidR="0095459A" w:rsidRPr="0095459A" w:rsidRDefault="0095459A" w:rsidP="0095459A">
      <w:pPr>
        <w:tabs>
          <w:tab w:val="left" w:pos="3930"/>
        </w:tabs>
        <w:rPr>
          <w:rFonts w:asciiTheme="majorBidi" w:hAnsiTheme="majorBidi" w:cstheme="majorBidi"/>
          <w:sz w:val="32"/>
          <w:szCs w:val="40"/>
        </w:rPr>
      </w:pPr>
      <w:r w:rsidRPr="0095459A">
        <w:rPr>
          <w:rFonts w:asciiTheme="majorBidi" w:hAnsiTheme="majorBidi" w:cstheme="majorBidi"/>
          <w:sz w:val="32"/>
          <w:szCs w:val="40"/>
        </w:rPr>
        <w:t>5.1 Any violation may be subject to disciplinary action, legal proceedings, or other relevant penalties.</w:t>
      </w:r>
      <w:r w:rsidRPr="0095459A">
        <w:rPr>
          <w:rFonts w:asciiTheme="majorBidi" w:hAnsiTheme="majorBidi" w:cstheme="majorBidi"/>
          <w:sz w:val="32"/>
          <w:szCs w:val="40"/>
        </w:rPr>
        <w:br/>
        <w:t>5.2 Supervisors who fail to report or take action against violations shall be held accountable.</w:t>
      </w:r>
      <w:r w:rsidRPr="0095459A">
        <w:rPr>
          <w:rFonts w:asciiTheme="majorBidi" w:hAnsiTheme="majorBidi" w:cstheme="majorBidi"/>
          <w:sz w:val="32"/>
          <w:szCs w:val="40"/>
        </w:rPr>
        <w:br/>
        <w:t>5.3 Ignorance of this policy does not excuse any non-compliance.</w:t>
      </w:r>
      <w:r w:rsidRPr="0095459A">
        <w:rPr>
          <w:rFonts w:asciiTheme="majorBidi" w:hAnsiTheme="majorBidi" w:cstheme="majorBidi"/>
          <w:sz w:val="32"/>
          <w:szCs w:val="40"/>
        </w:rPr>
        <w:br/>
        <w:t>5.4 Compliance monitoring will be in accordance with Police Order No. 1212/2537 (dated October 1, 1994).</w:t>
      </w:r>
    </w:p>
    <w:p w14:paraId="296A0D06" w14:textId="77777777" w:rsidR="0095459A" w:rsidRPr="0095459A" w:rsidRDefault="0095459A" w:rsidP="0095459A">
      <w:pPr>
        <w:tabs>
          <w:tab w:val="left" w:pos="3930"/>
        </w:tabs>
        <w:rPr>
          <w:rFonts w:asciiTheme="majorBidi" w:hAnsiTheme="majorBidi" w:cstheme="majorBidi"/>
          <w:b/>
          <w:bCs/>
          <w:sz w:val="32"/>
          <w:szCs w:val="40"/>
        </w:rPr>
      </w:pPr>
      <w:r w:rsidRPr="0095459A">
        <w:rPr>
          <w:rFonts w:asciiTheme="majorBidi" w:hAnsiTheme="majorBidi" w:cstheme="majorBidi"/>
          <w:b/>
          <w:bCs/>
          <w:sz w:val="32"/>
          <w:szCs w:val="40"/>
        </w:rPr>
        <w:t>6. Monitoring and Evaluation</w:t>
      </w:r>
    </w:p>
    <w:p w14:paraId="5045B502" w14:textId="77777777" w:rsidR="0095459A" w:rsidRDefault="0095459A" w:rsidP="0095459A">
      <w:pPr>
        <w:tabs>
          <w:tab w:val="left" w:pos="3930"/>
        </w:tabs>
        <w:rPr>
          <w:rFonts w:asciiTheme="majorBidi" w:hAnsiTheme="majorBidi" w:cstheme="majorBidi"/>
          <w:sz w:val="32"/>
          <w:szCs w:val="40"/>
        </w:rPr>
      </w:pPr>
      <w:r w:rsidRPr="0095459A">
        <w:rPr>
          <w:rFonts w:asciiTheme="majorBidi" w:hAnsiTheme="majorBidi" w:cstheme="majorBidi"/>
          <w:sz w:val="32"/>
          <w:szCs w:val="40"/>
        </w:rPr>
        <w:t>6.1 The Superintendent shall publicly affirm the station’s commitment to transparency and integrity.</w:t>
      </w:r>
      <w:r w:rsidRPr="0095459A">
        <w:rPr>
          <w:rFonts w:asciiTheme="majorBidi" w:hAnsiTheme="majorBidi" w:cstheme="majorBidi"/>
          <w:sz w:val="32"/>
          <w:szCs w:val="40"/>
        </w:rPr>
        <w:br/>
        <w:t>6.2 Supervisors are responsible for enforcing and overseeing compliance.</w:t>
      </w:r>
      <w:r w:rsidRPr="0095459A">
        <w:rPr>
          <w:rFonts w:asciiTheme="majorBidi" w:hAnsiTheme="majorBidi" w:cstheme="majorBidi"/>
          <w:sz w:val="32"/>
          <w:szCs w:val="40"/>
        </w:rPr>
        <w:br/>
        <w:t>6.3 Regular evaluations and updates shall be made to the implementation procedures.</w:t>
      </w:r>
      <w:r w:rsidRPr="0095459A">
        <w:rPr>
          <w:rFonts w:asciiTheme="majorBidi" w:hAnsiTheme="majorBidi" w:cstheme="majorBidi"/>
          <w:sz w:val="32"/>
          <w:szCs w:val="40"/>
        </w:rPr>
        <w:br/>
        <w:t>6.4 Quarterly reports on bribery incidents shall be submitted to the Superintendent.</w:t>
      </w:r>
    </w:p>
    <w:p w14:paraId="75B098F2" w14:textId="0CE26B43" w:rsidR="0095459A" w:rsidRPr="0095459A" w:rsidRDefault="00CF4D57" w:rsidP="0095459A">
      <w:pPr>
        <w:tabs>
          <w:tab w:val="left" w:pos="3930"/>
        </w:tabs>
        <w:rPr>
          <w:rFonts w:asciiTheme="majorBidi" w:hAnsiTheme="majorBidi" w:cstheme="majorBidi"/>
          <w:sz w:val="32"/>
          <w:szCs w:val="40"/>
        </w:rPr>
      </w:pPr>
      <w:r>
        <w:rPr>
          <w:rFonts w:asciiTheme="majorBidi" w:hAnsiTheme="majorBidi" w:cstheme="majorBidi" w:hint="cs"/>
          <w:b/>
          <w:bCs/>
          <w:sz w:val="32"/>
          <w:szCs w:val="40"/>
          <w:cs/>
        </w:rPr>
        <w:lastRenderedPageBreak/>
        <w:t>7.</w:t>
      </w:r>
      <w:r w:rsidR="0095459A" w:rsidRPr="0095459A">
        <w:rPr>
          <w:rFonts w:asciiTheme="majorBidi" w:hAnsiTheme="majorBidi" w:cstheme="majorBidi"/>
          <w:b/>
          <w:bCs/>
          <w:sz w:val="32"/>
          <w:szCs w:val="40"/>
        </w:rPr>
        <w:t>Channels for Complaints and Whistleblowing</w:t>
      </w:r>
    </w:p>
    <w:p w14:paraId="12E87F1E" w14:textId="77777777" w:rsidR="0095459A" w:rsidRPr="0095459A" w:rsidRDefault="0095459A" w:rsidP="0095459A">
      <w:pPr>
        <w:numPr>
          <w:ilvl w:val="0"/>
          <w:numId w:val="8"/>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In person:</w:t>
      </w:r>
      <w:r w:rsidRPr="0095459A">
        <w:rPr>
          <w:rFonts w:asciiTheme="majorBidi" w:hAnsiTheme="majorBidi" w:cstheme="majorBidi"/>
          <w:sz w:val="32"/>
          <w:szCs w:val="40"/>
        </w:rPr>
        <w:t xml:space="preserve"> Bangkok Yai Metropolitan Police Station</w:t>
      </w:r>
    </w:p>
    <w:p w14:paraId="7C615778" w14:textId="77777777" w:rsidR="0095459A" w:rsidRPr="0095459A" w:rsidRDefault="0095459A" w:rsidP="0095459A">
      <w:pPr>
        <w:numPr>
          <w:ilvl w:val="0"/>
          <w:numId w:val="8"/>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Mailing address:</w:t>
      </w:r>
      <w:r w:rsidRPr="0095459A">
        <w:rPr>
          <w:rFonts w:asciiTheme="majorBidi" w:hAnsiTheme="majorBidi" w:cstheme="majorBidi"/>
          <w:sz w:val="32"/>
          <w:szCs w:val="40"/>
        </w:rPr>
        <w:t xml:space="preserve"> [Insert Station Address Here]</w:t>
      </w:r>
    </w:p>
    <w:p w14:paraId="3D6591ED" w14:textId="77777777" w:rsidR="0095459A" w:rsidRPr="0095459A" w:rsidRDefault="0095459A" w:rsidP="0095459A">
      <w:pPr>
        <w:numPr>
          <w:ilvl w:val="0"/>
          <w:numId w:val="8"/>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Phone:</w:t>
      </w:r>
      <w:r w:rsidRPr="0095459A">
        <w:rPr>
          <w:rFonts w:asciiTheme="majorBidi" w:hAnsiTheme="majorBidi" w:cstheme="majorBidi"/>
          <w:sz w:val="32"/>
          <w:szCs w:val="40"/>
        </w:rPr>
        <w:t xml:space="preserve"> 0 2466 6696</w:t>
      </w:r>
    </w:p>
    <w:p w14:paraId="7C9C0A55" w14:textId="5273C665" w:rsidR="0095459A" w:rsidRPr="0095459A" w:rsidRDefault="0095459A" w:rsidP="0095459A">
      <w:pPr>
        <w:numPr>
          <w:ilvl w:val="0"/>
          <w:numId w:val="8"/>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Fax:</w:t>
      </w:r>
      <w:r w:rsidRPr="0095459A">
        <w:rPr>
          <w:rFonts w:asciiTheme="majorBidi" w:hAnsiTheme="majorBidi" w:cstheme="majorBidi"/>
          <w:sz w:val="32"/>
          <w:szCs w:val="40"/>
        </w:rPr>
        <w:t xml:space="preserve"> 0 2472 1110</w:t>
      </w:r>
    </w:p>
    <w:p w14:paraId="09456BE6" w14:textId="44F28459" w:rsidR="0095459A" w:rsidRPr="0095459A" w:rsidRDefault="0095459A" w:rsidP="0095459A">
      <w:pPr>
        <w:numPr>
          <w:ilvl w:val="0"/>
          <w:numId w:val="8"/>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Email:</w:t>
      </w:r>
      <w:r w:rsidRPr="0095459A">
        <w:rPr>
          <w:rFonts w:asciiTheme="majorBidi" w:hAnsiTheme="majorBidi" w:cstheme="majorBidi"/>
          <w:sz w:val="32"/>
          <w:szCs w:val="40"/>
        </w:rPr>
        <w:t xml:space="preserve"> Bangkokyai@royalthaipolice.go.th</w:t>
      </w:r>
    </w:p>
    <w:p w14:paraId="47490456" w14:textId="77777777" w:rsidR="0095459A" w:rsidRPr="0095459A" w:rsidRDefault="0095459A" w:rsidP="0095459A">
      <w:pPr>
        <w:numPr>
          <w:ilvl w:val="0"/>
          <w:numId w:val="8"/>
        </w:numPr>
        <w:tabs>
          <w:tab w:val="left" w:pos="3930"/>
        </w:tabs>
        <w:rPr>
          <w:rFonts w:asciiTheme="majorBidi" w:hAnsiTheme="majorBidi" w:cstheme="majorBidi"/>
          <w:sz w:val="32"/>
          <w:szCs w:val="40"/>
        </w:rPr>
      </w:pPr>
      <w:r w:rsidRPr="0095459A">
        <w:rPr>
          <w:rFonts w:asciiTheme="majorBidi" w:hAnsiTheme="majorBidi" w:cstheme="majorBidi"/>
          <w:b/>
          <w:bCs/>
          <w:sz w:val="32"/>
          <w:szCs w:val="40"/>
        </w:rPr>
        <w:t>Website:</w:t>
      </w:r>
      <w:r w:rsidRPr="0095459A">
        <w:rPr>
          <w:rFonts w:asciiTheme="majorBidi" w:hAnsiTheme="majorBidi" w:cstheme="majorBidi"/>
          <w:sz w:val="32"/>
          <w:szCs w:val="40"/>
        </w:rPr>
        <w:t xml:space="preserve"> </w:t>
      </w:r>
      <w:hyperlink r:id="rId6" w:tgtFrame="_new" w:history="1">
        <w:r w:rsidRPr="0095459A">
          <w:rPr>
            <w:rStyle w:val="Hyperlink"/>
            <w:rFonts w:asciiTheme="majorBidi" w:hAnsiTheme="majorBidi" w:cstheme="majorBidi"/>
            <w:sz w:val="32"/>
            <w:szCs w:val="40"/>
          </w:rPr>
          <w:t>https://bangkokyai.metro.police.go.th</w:t>
        </w:r>
      </w:hyperlink>
    </w:p>
    <w:p w14:paraId="57383068" w14:textId="77777777" w:rsidR="0095459A" w:rsidRPr="0095459A" w:rsidRDefault="00000000" w:rsidP="0095459A">
      <w:pPr>
        <w:tabs>
          <w:tab w:val="left" w:pos="3930"/>
        </w:tabs>
        <w:rPr>
          <w:rFonts w:asciiTheme="majorBidi" w:hAnsiTheme="majorBidi" w:cstheme="majorBidi"/>
          <w:sz w:val="32"/>
          <w:szCs w:val="40"/>
        </w:rPr>
      </w:pPr>
      <w:r>
        <w:rPr>
          <w:rFonts w:asciiTheme="majorBidi" w:hAnsiTheme="majorBidi" w:cstheme="majorBidi"/>
          <w:sz w:val="32"/>
          <w:szCs w:val="40"/>
        </w:rPr>
        <w:pict w14:anchorId="516D53F9">
          <v:rect id="_x0000_i1025" style="width:0;height:1.5pt" o:hralign="center" o:hrstd="t" o:hr="t" fillcolor="#a0a0a0" stroked="f"/>
        </w:pict>
      </w:r>
    </w:p>
    <w:p w14:paraId="3672665C" w14:textId="6D5BD9F1" w:rsidR="00CF4D57" w:rsidRPr="00CF4D57" w:rsidRDefault="00CF4D57" w:rsidP="00CF4D57">
      <w:pPr>
        <w:tabs>
          <w:tab w:val="left" w:pos="3930"/>
        </w:tabs>
        <w:rPr>
          <w:rFonts w:ascii="TH SarabunPSK" w:hAnsi="TH SarabunPSK" w:cs="TH SarabunPSK"/>
          <w:b/>
          <w:bCs/>
          <w:sz w:val="32"/>
          <w:szCs w:val="32"/>
        </w:rPr>
      </w:pPr>
      <w:r>
        <w:rPr>
          <w:rFonts w:ascii="TH SarabunPSK" w:hAnsi="TH SarabunPSK" w:cs="TH SarabunPSK" w:hint="cs"/>
          <w:b/>
          <w:bCs/>
          <w:sz w:val="32"/>
          <w:szCs w:val="32"/>
          <w:cs/>
        </w:rPr>
        <w:t>8.</w:t>
      </w:r>
      <w:r w:rsidRPr="00CF4D57">
        <w:rPr>
          <w:rFonts w:ascii="TH SarabunPSK" w:hAnsi="TH SarabunPSK" w:cs="TH SarabunPSK"/>
          <w:b/>
          <w:bCs/>
          <w:sz w:val="32"/>
          <w:szCs w:val="32"/>
        </w:rPr>
        <w:t>Measures for the Protection of Complainants, Whistleblowers, Witnesses, and Confidentiality</w:t>
      </w:r>
    </w:p>
    <w:p w14:paraId="5DCDB887" w14:textId="583DFFBD" w:rsidR="00CF4D57" w:rsidRPr="00CF4D57" w:rsidRDefault="00CF4D57" w:rsidP="00CF4D57">
      <w:pPr>
        <w:tabs>
          <w:tab w:val="left" w:pos="3930"/>
        </w:tabs>
        <w:rPr>
          <w:rFonts w:ascii="TH SarabunPSK" w:hAnsi="TH SarabunPSK" w:cs="TH SarabunPSK"/>
          <w:b/>
          <w:bCs/>
          <w:sz w:val="32"/>
          <w:szCs w:val="32"/>
        </w:rPr>
      </w:pPr>
      <w:r>
        <w:rPr>
          <w:rFonts w:ascii="TH SarabunPSK" w:hAnsi="TH SarabunPSK" w:cs="TH SarabunPSK" w:hint="cs"/>
          <w:b/>
          <w:bCs/>
          <w:sz w:val="32"/>
          <w:szCs w:val="32"/>
          <w:cs/>
        </w:rPr>
        <w:t>8.1</w:t>
      </w:r>
      <w:r w:rsidRPr="00CF4D57">
        <w:rPr>
          <w:rFonts w:ascii="TH SarabunPSK" w:hAnsi="TH SarabunPSK" w:cs="TH SarabunPSK"/>
          <w:b/>
          <w:bCs/>
          <w:sz w:val="32"/>
          <w:szCs w:val="32"/>
        </w:rPr>
        <w:t>. Confidentiality and Protection of Relevant Persons</w:t>
      </w:r>
    </w:p>
    <w:p w14:paraId="382CFC78" w14:textId="46E29F90"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In considering complaints, the level of confidentiality shall be determined, and all persons concerned shall be protected in accordance with the Official Information Security Regulation B.E. 25</w:t>
      </w:r>
      <w:r>
        <w:rPr>
          <w:rFonts w:ascii="TH SarabunPSK" w:hAnsi="TH SarabunPSK" w:cs="TH SarabunPSK" w:hint="cs"/>
          <w:sz w:val="32"/>
          <w:szCs w:val="32"/>
          <w:cs/>
        </w:rPr>
        <w:t>5</w:t>
      </w:r>
      <w:r w:rsidRPr="00CF4D57">
        <w:rPr>
          <w:rFonts w:ascii="TH SarabunPSK" w:hAnsi="TH SarabunPSK" w:cs="TH SarabunPSK"/>
          <w:sz w:val="32"/>
          <w:szCs w:val="32"/>
        </w:rPr>
        <w:t>4 (20</w:t>
      </w:r>
      <w:r>
        <w:rPr>
          <w:rFonts w:ascii="TH SarabunPSK" w:hAnsi="TH SarabunPSK" w:cs="TH SarabunPSK" w:hint="cs"/>
          <w:sz w:val="32"/>
          <w:szCs w:val="32"/>
          <w:cs/>
        </w:rPr>
        <w:t>1</w:t>
      </w:r>
      <w:r w:rsidRPr="00CF4D57">
        <w:rPr>
          <w:rFonts w:ascii="TH SarabunPSK" w:hAnsi="TH SarabunPSK" w:cs="TH SarabunPSK"/>
          <w:sz w:val="32"/>
          <w:szCs w:val="32"/>
        </w:rPr>
        <w:t>1). When a complaint is forwarded to another agency for consideration, the informant or complainant may be exposed to hardship or adverse consequences.</w:t>
      </w:r>
    </w:p>
    <w:p w14:paraId="30DE50E0"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A complaint alleging misconduct by a public official shall, at the preliminary stage, be treated as official confidential information. In the case of an anonymous complaint, consideration shall be given only where supporting evidence, surrounding circumstances, or clearly identifiable witnesses are specified.</w:t>
      </w:r>
    </w:p>
    <w:p w14:paraId="5BD16D93"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For reports or information concerning influential persons, the name and address of the complainant shall be kept confidential. Where the complainant’s name and address cannot be withheld, the relevant agency shall be informed and protection shall be provided to the complainant as follows:</w:t>
      </w:r>
    </w:p>
    <w:p w14:paraId="0C659631"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 xml:space="preserve">“The supervising authority shall exercise discretion and issue such orders as deemed appropriate to protect the complainant, witnesses, and persons providing information in the course of an inquiry or investigation, so that they shall not be exposed to danger, retaliation, or </w:t>
      </w:r>
      <w:r w:rsidRPr="00CF4D57">
        <w:rPr>
          <w:rFonts w:ascii="TH SarabunPSK" w:hAnsi="TH SarabunPSK" w:cs="TH SarabunPSK"/>
          <w:sz w:val="32"/>
          <w:szCs w:val="32"/>
        </w:rPr>
        <w:lastRenderedPageBreak/>
        <w:t>unfair treatment arising from the filing of a complaint, the giving of testimony, or the provision of information.”</w:t>
      </w:r>
    </w:p>
    <w:p w14:paraId="303F9DF5"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Where the name of the alleged person is specified, both the complainant and the person complained against shall be protected, as the matter has not yet undergone a fact-finding process and may involve malicious or retaliatory allegations causing damage or hardship.</w:t>
      </w:r>
    </w:p>
    <w:p w14:paraId="139B96C6"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Where a complainant expressly requests confidentiality or indicates that they do not wish their identity to be disclosed, the responsible agency shall not disclose the complainant’s name to the agency or person complained against, as such disclosure may cause the complainant hardship or risk arising from the complaint.</w:t>
      </w:r>
    </w:p>
    <w:p w14:paraId="52F3EA71" w14:textId="6595A746" w:rsidR="00CF4D57" w:rsidRPr="00CF4D57" w:rsidRDefault="00CF4D57" w:rsidP="00CF4D57">
      <w:pPr>
        <w:tabs>
          <w:tab w:val="left" w:pos="3930"/>
        </w:tabs>
        <w:rPr>
          <w:rFonts w:ascii="TH SarabunPSK" w:hAnsi="TH SarabunPSK" w:cs="TH SarabunPSK"/>
          <w:b/>
          <w:bCs/>
          <w:sz w:val="32"/>
          <w:szCs w:val="32"/>
        </w:rPr>
      </w:pPr>
      <w:r>
        <w:rPr>
          <w:rFonts w:ascii="TH SarabunPSK" w:hAnsi="TH SarabunPSK" w:cs="TH SarabunPSK" w:hint="cs"/>
          <w:b/>
          <w:bCs/>
          <w:sz w:val="32"/>
          <w:szCs w:val="32"/>
          <w:cs/>
        </w:rPr>
        <w:t>8.</w:t>
      </w:r>
      <w:r w:rsidRPr="00CF4D57">
        <w:rPr>
          <w:rFonts w:ascii="TH SarabunPSK" w:hAnsi="TH SarabunPSK" w:cs="TH SarabunPSK"/>
          <w:b/>
          <w:bCs/>
          <w:sz w:val="32"/>
          <w:szCs w:val="32"/>
        </w:rPr>
        <w:t>2. Protection Against Adverse Action</w:t>
      </w:r>
    </w:p>
    <w:p w14:paraId="7275D9F3"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Upon the filing of a complaint, the complainant and witnesses shall not be subjected to any action that adversely affects their employment, duties, livelihood, or personal well-being.</w:t>
      </w:r>
    </w:p>
    <w:p w14:paraId="2E372482"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Where any action is necessary, such as separating the workplace or arranging measures to prevent direct contact between the complainant, witnesses, and the person complained against, such action shall be undertaken only with the consent of the complainant and witnesses.</w:t>
      </w:r>
    </w:p>
    <w:p w14:paraId="148051FE" w14:textId="7B2619E5" w:rsidR="00CF4D57" w:rsidRPr="00CF4D57" w:rsidRDefault="00CF4D57" w:rsidP="00CF4D57">
      <w:pPr>
        <w:tabs>
          <w:tab w:val="left" w:pos="3930"/>
        </w:tabs>
        <w:rPr>
          <w:rFonts w:ascii="TH SarabunPSK" w:hAnsi="TH SarabunPSK" w:cs="TH SarabunPSK"/>
          <w:b/>
          <w:bCs/>
          <w:sz w:val="32"/>
          <w:szCs w:val="32"/>
        </w:rPr>
      </w:pPr>
      <w:r>
        <w:rPr>
          <w:rFonts w:ascii="TH SarabunPSK" w:hAnsi="TH SarabunPSK" w:cs="TH SarabunPSK" w:hint="cs"/>
          <w:b/>
          <w:bCs/>
          <w:sz w:val="32"/>
          <w:szCs w:val="32"/>
          <w:cs/>
        </w:rPr>
        <w:t>8.</w:t>
      </w:r>
      <w:r w:rsidRPr="00CF4D57">
        <w:rPr>
          <w:rFonts w:ascii="TH SarabunPSK" w:hAnsi="TH SarabunPSK" w:cs="TH SarabunPSK"/>
          <w:b/>
          <w:bCs/>
          <w:sz w:val="32"/>
          <w:szCs w:val="32"/>
        </w:rPr>
        <w:t>3. Consideration of Protective Requests</w:t>
      </w:r>
    </w:p>
    <w:p w14:paraId="19D62AAF"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Requests made by an injured person, complainant, or witness, including requests for transfer to another workplace or other protective or remedial measures, should be considered by the responsible person or agency as appropriate and according to the circumstances of each case.</w:t>
      </w:r>
    </w:p>
    <w:p w14:paraId="483031E6" w14:textId="77D3D7E7" w:rsidR="00CF4D57" w:rsidRPr="00CF4D57" w:rsidRDefault="00CF4D57" w:rsidP="00CF4D57">
      <w:pPr>
        <w:tabs>
          <w:tab w:val="left" w:pos="3930"/>
        </w:tabs>
        <w:rPr>
          <w:rFonts w:ascii="TH SarabunPSK" w:hAnsi="TH SarabunPSK" w:cs="TH SarabunPSK"/>
          <w:b/>
          <w:bCs/>
          <w:sz w:val="32"/>
          <w:szCs w:val="32"/>
        </w:rPr>
      </w:pPr>
      <w:r>
        <w:rPr>
          <w:rFonts w:ascii="TH SarabunPSK" w:hAnsi="TH SarabunPSK" w:cs="TH SarabunPSK" w:hint="cs"/>
          <w:b/>
          <w:bCs/>
          <w:sz w:val="32"/>
          <w:szCs w:val="32"/>
          <w:cs/>
        </w:rPr>
        <w:t>8.</w:t>
      </w:r>
      <w:r w:rsidRPr="00CF4D57">
        <w:rPr>
          <w:rFonts w:ascii="TH SarabunPSK" w:hAnsi="TH SarabunPSK" w:cs="TH SarabunPSK"/>
          <w:b/>
          <w:bCs/>
          <w:sz w:val="32"/>
          <w:szCs w:val="32"/>
        </w:rPr>
        <w:t>4. Protection Against Retaliation</w:t>
      </w:r>
    </w:p>
    <w:p w14:paraId="7BF7127A" w14:textId="77777777"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Complainants shall be protected from harassment, intimidation, retaliation, discrimination, or any other form of unfair treatment resulting from the submission of a complaint, the provision of information, or participation as a witness.</w:t>
      </w:r>
    </w:p>
    <w:p w14:paraId="70E66BBF" w14:textId="77777777" w:rsidR="00CF4D57" w:rsidRDefault="00CF4D57" w:rsidP="00CF4D57">
      <w:pPr>
        <w:tabs>
          <w:tab w:val="left" w:pos="3930"/>
        </w:tabs>
        <w:rPr>
          <w:rFonts w:ascii="TH SarabunPSK" w:hAnsi="TH SarabunPSK" w:cs="TH SarabunPSK"/>
          <w:b/>
          <w:bCs/>
          <w:sz w:val="32"/>
          <w:szCs w:val="32"/>
        </w:rPr>
      </w:pPr>
    </w:p>
    <w:p w14:paraId="3D831B81" w14:textId="77777777" w:rsidR="00CF4D57" w:rsidRDefault="00CF4D57" w:rsidP="00CF4D57">
      <w:pPr>
        <w:tabs>
          <w:tab w:val="left" w:pos="3930"/>
        </w:tabs>
        <w:rPr>
          <w:rFonts w:ascii="TH SarabunPSK" w:hAnsi="TH SarabunPSK" w:cs="TH SarabunPSK"/>
          <w:b/>
          <w:bCs/>
          <w:sz w:val="32"/>
          <w:szCs w:val="32"/>
        </w:rPr>
      </w:pPr>
    </w:p>
    <w:p w14:paraId="756F77E2" w14:textId="77777777" w:rsidR="00CF4D57" w:rsidRDefault="00CF4D57" w:rsidP="00CF4D57">
      <w:pPr>
        <w:tabs>
          <w:tab w:val="left" w:pos="3930"/>
        </w:tabs>
        <w:rPr>
          <w:rFonts w:ascii="TH SarabunPSK" w:hAnsi="TH SarabunPSK" w:cs="TH SarabunPSK"/>
          <w:b/>
          <w:bCs/>
          <w:sz w:val="32"/>
          <w:szCs w:val="32"/>
        </w:rPr>
      </w:pPr>
    </w:p>
    <w:p w14:paraId="508CCEED" w14:textId="69C2E8F2" w:rsidR="00CF4D57" w:rsidRPr="00CF4D57" w:rsidRDefault="00CF4D57" w:rsidP="00CF4D57">
      <w:pPr>
        <w:tabs>
          <w:tab w:val="left" w:pos="3930"/>
        </w:tabs>
        <w:rPr>
          <w:rFonts w:ascii="TH SarabunPSK" w:hAnsi="TH SarabunPSK" w:cs="TH SarabunPSK"/>
          <w:b/>
          <w:bCs/>
          <w:sz w:val="32"/>
          <w:szCs w:val="32"/>
        </w:rPr>
      </w:pPr>
      <w:r w:rsidRPr="00CF4D57">
        <w:rPr>
          <w:rFonts w:ascii="TH SarabunPSK" w:hAnsi="TH SarabunPSK" w:cs="TH SarabunPSK"/>
          <w:b/>
          <w:bCs/>
          <w:sz w:val="32"/>
          <w:szCs w:val="32"/>
        </w:rPr>
        <w:lastRenderedPageBreak/>
        <w:t>Measures for the Protection of Persons Accused</w:t>
      </w:r>
    </w:p>
    <w:p w14:paraId="44EB36A2" w14:textId="6AB65369" w:rsidR="00CF4D57" w:rsidRPr="00CF4D57" w:rsidRDefault="00CF4D57" w:rsidP="00CF4D57">
      <w:pPr>
        <w:tabs>
          <w:tab w:val="left" w:pos="3930"/>
        </w:tabs>
        <w:rPr>
          <w:rFonts w:ascii="TH SarabunPSK" w:hAnsi="TH SarabunPSK" w:cs="TH SarabunPSK"/>
          <w:b/>
          <w:bCs/>
          <w:sz w:val="32"/>
          <w:szCs w:val="32"/>
        </w:rPr>
      </w:pPr>
      <w:r w:rsidRPr="00CF4D57">
        <w:rPr>
          <w:rFonts w:ascii="TH SarabunPSK" w:hAnsi="TH SarabunPSK" w:cs="TH SarabunPSK"/>
          <w:b/>
          <w:bCs/>
          <w:sz w:val="32"/>
          <w:szCs w:val="32"/>
        </w:rPr>
        <w:t>1. Presumption of Fair Treatment</w:t>
      </w:r>
    </w:p>
    <w:p w14:paraId="0E9BCB35" w14:textId="6C14D2B2"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During the consideration or investigation of a complaint, the person accused shall not be deemed guilty. Such person shall be treated fairly and shall continue to receive treatment equivalent to that afforded to other persons.</w:t>
      </w:r>
    </w:p>
    <w:p w14:paraId="09CF6861" w14:textId="0A5724AB" w:rsidR="00CF4D57" w:rsidRPr="00CF4D57" w:rsidRDefault="00CF4D57" w:rsidP="00CF4D57">
      <w:pPr>
        <w:tabs>
          <w:tab w:val="left" w:pos="3930"/>
        </w:tabs>
        <w:rPr>
          <w:rFonts w:ascii="TH SarabunPSK" w:hAnsi="TH SarabunPSK" w:cs="TH SarabunPSK"/>
          <w:b/>
          <w:bCs/>
          <w:sz w:val="32"/>
          <w:szCs w:val="32"/>
        </w:rPr>
      </w:pPr>
      <w:r w:rsidRPr="00CF4D57">
        <w:rPr>
          <w:rFonts w:ascii="TH SarabunPSK" w:hAnsi="TH SarabunPSK" w:cs="TH SarabunPSK"/>
          <w:b/>
          <w:bCs/>
          <w:sz w:val="32"/>
          <w:szCs w:val="32"/>
        </w:rPr>
        <w:t>2. Right to Respond and Present Evidence</w:t>
      </w:r>
    </w:p>
    <w:p w14:paraId="74E40696" w14:textId="7B557708" w:rsidR="00CF4D57" w:rsidRPr="00CF4D57" w:rsidRDefault="00CF4D57" w:rsidP="00CF4D57">
      <w:pPr>
        <w:tabs>
          <w:tab w:val="left" w:pos="3930"/>
        </w:tabs>
        <w:rPr>
          <w:rFonts w:ascii="TH SarabunPSK" w:hAnsi="TH SarabunPSK" w:cs="TH SarabunPSK"/>
          <w:sz w:val="32"/>
          <w:szCs w:val="32"/>
        </w:rPr>
      </w:pPr>
      <w:r w:rsidRPr="00CF4D57">
        <w:rPr>
          <w:rFonts w:ascii="TH SarabunPSK" w:hAnsi="TH SarabunPSK" w:cs="TH SarabunPSK"/>
          <w:sz w:val="32"/>
          <w:szCs w:val="32"/>
        </w:rPr>
        <w:t>The person accused shall be given a full and fair opportunity to respond to the allegations, provide explanations, and submit relevant documents, evidence, or witnesses in support of their position.</w:t>
      </w:r>
    </w:p>
    <w:p w14:paraId="376F1A14" w14:textId="5E30228B" w:rsidR="00CF4D57" w:rsidRDefault="0095459A" w:rsidP="0095459A">
      <w:pPr>
        <w:tabs>
          <w:tab w:val="left" w:pos="3930"/>
        </w:tabs>
        <w:rPr>
          <w:rFonts w:ascii="TH SarabunPSK" w:hAnsi="TH SarabunPSK" w:cs="TH SarabunPSK"/>
          <w:sz w:val="32"/>
          <w:szCs w:val="32"/>
        </w:rPr>
      </w:pPr>
      <w:r>
        <w:rPr>
          <w:rFonts w:ascii="TH SarabunPSK" w:hAnsi="TH SarabunPSK" w:cs="TH SarabunPSK"/>
          <w:sz w:val="32"/>
          <w:szCs w:val="32"/>
        </w:rPr>
        <w:tab/>
      </w:r>
    </w:p>
    <w:p w14:paraId="6CCF417D" w14:textId="18C468DE" w:rsidR="0095459A" w:rsidRDefault="00CF4D57" w:rsidP="0095459A">
      <w:pPr>
        <w:tabs>
          <w:tab w:val="left" w:pos="3930"/>
        </w:tabs>
        <w:rPr>
          <w:rFonts w:asciiTheme="majorBidi" w:hAnsiTheme="majorBidi" w:cstheme="majorBidi" w:hint="cs"/>
          <w:sz w:val="32"/>
          <w:szCs w:val="40"/>
        </w:rPr>
      </w:pPr>
      <w:r>
        <w:rPr>
          <w:rFonts w:asciiTheme="majorBidi" w:hAnsiTheme="majorBidi" w:cstheme="majorBidi"/>
          <w:noProof/>
          <w:sz w:val="32"/>
          <w:szCs w:val="40"/>
        </w:rPr>
        <w:drawing>
          <wp:anchor distT="0" distB="0" distL="114300" distR="114300" simplePos="0" relativeHeight="251660288" behindDoc="0" locked="0" layoutInCell="1" allowOverlap="1" wp14:anchorId="1ACB8CB5" wp14:editId="3FD6E3A1">
            <wp:simplePos x="0" y="0"/>
            <wp:positionH relativeFrom="column">
              <wp:posOffset>3033395</wp:posOffset>
            </wp:positionH>
            <wp:positionV relativeFrom="paragraph">
              <wp:posOffset>36830</wp:posOffset>
            </wp:positionV>
            <wp:extent cx="810331" cy="708660"/>
            <wp:effectExtent l="0" t="0" r="0" b="0"/>
            <wp:wrapNone/>
            <wp:docPr id="1086893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93242" name="Picture 10868932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0331" cy="708660"/>
                    </a:xfrm>
                    <a:prstGeom prst="rect">
                      <a:avLst/>
                    </a:prstGeom>
                  </pic:spPr>
                </pic:pic>
              </a:graphicData>
            </a:graphic>
            <wp14:sizeRelH relativeFrom="page">
              <wp14:pctWidth>0</wp14:pctWidth>
            </wp14:sizeRelH>
            <wp14:sizeRelV relativeFrom="page">
              <wp14:pctHeight>0</wp14:pctHeight>
            </wp14:sizeRelV>
          </wp:anchor>
        </w:drawing>
      </w:r>
      <w:r>
        <w:rPr>
          <w:rFonts w:ascii="TH SarabunPSK" w:hAnsi="TH SarabunPSK" w:cs="TH SarabunPSK"/>
          <w:sz w:val="32"/>
          <w:szCs w:val="32"/>
          <w:cs/>
        </w:rPr>
        <w:tab/>
      </w:r>
      <w:r w:rsidR="0095459A" w:rsidRPr="0095459A">
        <w:rPr>
          <w:rFonts w:asciiTheme="majorBidi" w:hAnsiTheme="majorBidi" w:cstheme="majorBidi"/>
          <w:sz w:val="32"/>
          <w:szCs w:val="32"/>
        </w:rPr>
        <w:t xml:space="preserve">Announced on March 10, </w:t>
      </w:r>
      <w:r w:rsidR="0095459A" w:rsidRPr="0095459A">
        <w:rPr>
          <w:rFonts w:asciiTheme="majorBidi" w:hAnsiTheme="majorBidi" w:cstheme="majorBidi"/>
          <w:sz w:val="32"/>
          <w:szCs w:val="32"/>
          <w:cs/>
        </w:rPr>
        <w:t>202</w:t>
      </w:r>
      <w:r>
        <w:rPr>
          <w:rFonts w:asciiTheme="majorBidi" w:hAnsiTheme="majorBidi" w:cstheme="majorBidi" w:hint="cs"/>
          <w:sz w:val="32"/>
          <w:szCs w:val="32"/>
          <w:cs/>
        </w:rPr>
        <w:t>6</w:t>
      </w:r>
    </w:p>
    <w:p w14:paraId="2FF32B23" w14:textId="14E23000" w:rsidR="0095459A" w:rsidRDefault="0095459A" w:rsidP="00DA107A">
      <w:pPr>
        <w:tabs>
          <w:tab w:val="left" w:pos="3930"/>
        </w:tabs>
        <w:ind w:left="2160"/>
        <w:rPr>
          <w:rFonts w:asciiTheme="majorBidi" w:hAnsiTheme="majorBidi" w:cstheme="majorBidi"/>
          <w:sz w:val="32"/>
          <w:szCs w:val="40"/>
        </w:rPr>
      </w:pPr>
      <w:r>
        <w:rPr>
          <w:rFonts w:asciiTheme="majorBidi" w:hAnsiTheme="majorBidi" w:cstheme="majorBidi"/>
          <w:sz w:val="32"/>
          <w:szCs w:val="40"/>
        </w:rPr>
        <w:t xml:space="preserve">          </w:t>
      </w:r>
      <w:r w:rsidRPr="0095459A">
        <w:rPr>
          <w:rFonts w:asciiTheme="majorBidi" w:hAnsiTheme="majorBidi" w:cstheme="majorBidi"/>
          <w:sz w:val="32"/>
          <w:szCs w:val="40"/>
        </w:rPr>
        <w:t xml:space="preserve">Police Colonel </w:t>
      </w:r>
      <w:r w:rsidRPr="0095459A">
        <w:rPr>
          <w:rFonts w:asciiTheme="majorBidi" w:hAnsiTheme="majorBidi" w:cstheme="majorBidi"/>
          <w:sz w:val="32"/>
          <w:szCs w:val="40"/>
        </w:rPr>
        <w:br/>
      </w:r>
      <w:r w:rsidR="00DA107A">
        <w:rPr>
          <w:rFonts w:asciiTheme="majorBidi" w:hAnsiTheme="majorBidi" w:cstheme="majorBidi" w:hint="cs"/>
          <w:sz w:val="32"/>
          <w:szCs w:val="32"/>
          <w:cs/>
        </w:rPr>
        <w:t xml:space="preserve">                                      </w:t>
      </w:r>
      <w:proofErr w:type="gramStart"/>
      <w:r w:rsidR="00DA107A">
        <w:rPr>
          <w:rFonts w:asciiTheme="majorBidi" w:hAnsiTheme="majorBidi" w:cstheme="majorBidi" w:hint="cs"/>
          <w:sz w:val="32"/>
          <w:szCs w:val="32"/>
          <w:cs/>
        </w:rPr>
        <w:t xml:space="preserve">   </w:t>
      </w:r>
      <w:r w:rsidRPr="0095459A">
        <w:rPr>
          <w:rFonts w:asciiTheme="majorBidi" w:hAnsiTheme="majorBidi" w:cstheme="majorBidi"/>
          <w:sz w:val="32"/>
          <w:szCs w:val="32"/>
          <w:cs/>
        </w:rPr>
        <w:t>(</w:t>
      </w:r>
      <w:proofErr w:type="spellStart"/>
      <w:proofErr w:type="gramEnd"/>
      <w:r w:rsidRPr="0095459A">
        <w:rPr>
          <w:rFonts w:asciiTheme="majorBidi" w:hAnsiTheme="majorBidi" w:cstheme="majorBidi"/>
          <w:sz w:val="32"/>
          <w:szCs w:val="32"/>
        </w:rPr>
        <w:t>Techin</w:t>
      </w:r>
      <w:proofErr w:type="spellEnd"/>
      <w:r w:rsidRPr="0095459A">
        <w:rPr>
          <w:rFonts w:asciiTheme="majorBidi" w:hAnsiTheme="majorBidi" w:cstheme="majorBidi"/>
          <w:sz w:val="32"/>
          <w:szCs w:val="32"/>
        </w:rPr>
        <w:t xml:space="preserve"> </w:t>
      </w:r>
      <w:proofErr w:type="spellStart"/>
      <w:r w:rsidRPr="0095459A">
        <w:rPr>
          <w:rFonts w:asciiTheme="majorBidi" w:hAnsiTheme="majorBidi" w:cstheme="majorBidi"/>
          <w:sz w:val="32"/>
          <w:szCs w:val="32"/>
        </w:rPr>
        <w:t>Kanjanakhlod</w:t>
      </w:r>
      <w:proofErr w:type="spellEnd"/>
      <w:r w:rsidRPr="0095459A">
        <w:rPr>
          <w:rFonts w:asciiTheme="majorBidi" w:hAnsiTheme="majorBidi" w:cstheme="majorBidi"/>
          <w:sz w:val="32"/>
          <w:szCs w:val="32"/>
          <w:cs/>
        </w:rPr>
        <w:t>)</w:t>
      </w:r>
    </w:p>
    <w:p w14:paraId="5273F43D" w14:textId="4617C8DF" w:rsidR="0095459A" w:rsidRDefault="00DA107A" w:rsidP="0095459A">
      <w:pPr>
        <w:tabs>
          <w:tab w:val="left" w:pos="3930"/>
        </w:tabs>
        <w:rPr>
          <w:rFonts w:asciiTheme="majorBidi" w:hAnsiTheme="majorBidi" w:cstheme="majorBidi"/>
          <w:sz w:val="32"/>
          <w:szCs w:val="40"/>
        </w:rPr>
      </w:pPr>
      <w:r>
        <w:rPr>
          <w:rFonts w:asciiTheme="majorBidi" w:hAnsiTheme="majorBidi" w:cstheme="majorBidi"/>
          <w:sz w:val="32"/>
          <w:szCs w:val="40"/>
        </w:rPr>
        <w:t xml:space="preserve">                                                     </w:t>
      </w:r>
      <w:r w:rsidR="0095459A" w:rsidRPr="0095459A">
        <w:rPr>
          <w:rFonts w:asciiTheme="majorBidi" w:hAnsiTheme="majorBidi" w:cstheme="majorBidi"/>
          <w:sz w:val="32"/>
          <w:szCs w:val="40"/>
        </w:rPr>
        <w:t>Superintendent</w:t>
      </w:r>
      <w:r w:rsidR="0095459A">
        <w:rPr>
          <w:rFonts w:asciiTheme="majorBidi" w:hAnsiTheme="majorBidi" w:cstheme="majorBidi"/>
          <w:sz w:val="32"/>
          <w:szCs w:val="40"/>
        </w:rPr>
        <w:t xml:space="preserve"> </w:t>
      </w:r>
      <w:r w:rsidR="0095459A" w:rsidRPr="0095459A">
        <w:rPr>
          <w:rFonts w:asciiTheme="majorBidi" w:hAnsiTheme="majorBidi" w:cstheme="majorBidi"/>
          <w:sz w:val="32"/>
          <w:szCs w:val="40"/>
        </w:rPr>
        <w:t>Bangkok Yai Metropolitan Police Station</w:t>
      </w:r>
    </w:p>
    <w:p w14:paraId="4647ABCB" w14:textId="6B6297C4" w:rsidR="0095459A" w:rsidRPr="0095459A" w:rsidRDefault="0095459A" w:rsidP="0095459A">
      <w:pPr>
        <w:tabs>
          <w:tab w:val="left" w:pos="3930"/>
        </w:tabs>
        <w:rPr>
          <w:rFonts w:asciiTheme="majorBidi" w:hAnsiTheme="majorBidi" w:cstheme="majorBidi"/>
          <w:sz w:val="32"/>
          <w:szCs w:val="40"/>
        </w:rPr>
      </w:pPr>
    </w:p>
    <w:p w14:paraId="40636373" w14:textId="350E1511" w:rsidR="00F235D9" w:rsidRPr="00F235D9" w:rsidRDefault="00F235D9" w:rsidP="00F235D9">
      <w:pPr>
        <w:tabs>
          <w:tab w:val="left" w:pos="3930"/>
        </w:tabs>
        <w:jc w:val="both"/>
        <w:rPr>
          <w:lang w:val="en"/>
        </w:rPr>
      </w:pPr>
    </w:p>
    <w:sectPr w:rsidR="00F235D9" w:rsidRPr="00F23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H SarabunPSK">
    <w:panose1 w:val="020B0500040200020003"/>
    <w:charset w:val="00"/>
    <w:family w:val="swiss"/>
    <w:pitch w:val="variable"/>
    <w:sig w:usb0="A100006F" w:usb1="5000205A" w:usb2="00000000" w:usb3="00000000" w:csb0="000101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8C1"/>
    <w:multiLevelType w:val="multilevel"/>
    <w:tmpl w:val="A38A5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3A744D"/>
    <w:multiLevelType w:val="multilevel"/>
    <w:tmpl w:val="FEE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62B8C"/>
    <w:multiLevelType w:val="multilevel"/>
    <w:tmpl w:val="C8E8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F0FD5"/>
    <w:multiLevelType w:val="multilevel"/>
    <w:tmpl w:val="1428C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D7378D"/>
    <w:multiLevelType w:val="multilevel"/>
    <w:tmpl w:val="C6600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4463F9"/>
    <w:multiLevelType w:val="multilevel"/>
    <w:tmpl w:val="2264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334A3B"/>
    <w:multiLevelType w:val="multilevel"/>
    <w:tmpl w:val="F3907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0F49A3"/>
    <w:multiLevelType w:val="multilevel"/>
    <w:tmpl w:val="6108D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6562722">
    <w:abstractNumId w:val="0"/>
  </w:num>
  <w:num w:numId="2" w16cid:durableId="862354452">
    <w:abstractNumId w:val="2"/>
  </w:num>
  <w:num w:numId="3" w16cid:durableId="685865682">
    <w:abstractNumId w:val="4"/>
  </w:num>
  <w:num w:numId="4" w16cid:durableId="643392094">
    <w:abstractNumId w:val="3"/>
  </w:num>
  <w:num w:numId="5" w16cid:durableId="850029437">
    <w:abstractNumId w:val="6"/>
  </w:num>
  <w:num w:numId="6" w16cid:durableId="1414621359">
    <w:abstractNumId w:val="7"/>
  </w:num>
  <w:num w:numId="7" w16cid:durableId="1560482412">
    <w:abstractNumId w:val="1"/>
  </w:num>
  <w:num w:numId="8" w16cid:durableId="4817002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D9"/>
    <w:rsid w:val="00030F3A"/>
    <w:rsid w:val="001D6A81"/>
    <w:rsid w:val="0095459A"/>
    <w:rsid w:val="009B40F4"/>
    <w:rsid w:val="00A54F6C"/>
    <w:rsid w:val="00AE2998"/>
    <w:rsid w:val="00CF4D57"/>
    <w:rsid w:val="00DA107A"/>
    <w:rsid w:val="00F235D9"/>
    <w:rsid w:val="00FA660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0DB90"/>
  <w15:chartTrackingRefBased/>
  <w15:docId w15:val="{DA927E38-F715-425D-AF76-9CE864BD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5D9"/>
    <w:pPr>
      <w:keepNext/>
      <w:keepLines/>
      <w:spacing w:before="320" w:after="40"/>
      <w:outlineLvl w:val="0"/>
    </w:pPr>
    <w:rPr>
      <w:rFonts w:asciiTheme="majorHAnsi" w:eastAsiaTheme="majorEastAsia" w:hAnsiTheme="majorHAnsi" w:cstheme="majorBidi"/>
      <w:color w:val="2E74B5" w:themeColor="accent1" w:themeShade="BF"/>
      <w:sz w:val="40"/>
      <w:szCs w:val="50"/>
    </w:rPr>
  </w:style>
  <w:style w:type="paragraph" w:styleId="Heading2">
    <w:name w:val="heading 2"/>
    <w:basedOn w:val="Normal"/>
    <w:next w:val="Normal"/>
    <w:link w:val="Heading2Char"/>
    <w:uiPriority w:val="9"/>
    <w:semiHidden/>
    <w:unhideWhenUsed/>
    <w:qFormat/>
    <w:rsid w:val="00F235D9"/>
    <w:pPr>
      <w:keepNext/>
      <w:keepLines/>
      <w:spacing w:before="120" w:after="40"/>
      <w:outlineLvl w:val="1"/>
    </w:pPr>
    <w:rPr>
      <w:rFonts w:asciiTheme="majorHAnsi" w:eastAsiaTheme="majorEastAsia" w:hAnsiTheme="majorHAnsi" w:cstheme="majorBidi"/>
      <w:color w:val="2E74B5" w:themeColor="accent1" w:themeShade="BF"/>
      <w:sz w:val="32"/>
      <w:szCs w:val="40"/>
    </w:rPr>
  </w:style>
  <w:style w:type="paragraph" w:styleId="Heading3">
    <w:name w:val="heading 3"/>
    <w:basedOn w:val="Normal"/>
    <w:next w:val="Normal"/>
    <w:link w:val="Heading3Char"/>
    <w:uiPriority w:val="9"/>
    <w:semiHidden/>
    <w:unhideWhenUsed/>
    <w:qFormat/>
    <w:rsid w:val="00F235D9"/>
    <w:pPr>
      <w:keepNext/>
      <w:keepLines/>
      <w:spacing w:before="120" w:after="40"/>
      <w:outlineLvl w:val="2"/>
    </w:pPr>
    <w:rPr>
      <w:rFonts w:eastAsiaTheme="majorEastAsia" w:cstheme="majorBidi"/>
      <w:color w:val="2E74B5" w:themeColor="accent1" w:themeShade="BF"/>
      <w:sz w:val="28"/>
      <w:szCs w:val="35"/>
    </w:rPr>
  </w:style>
  <w:style w:type="paragraph" w:styleId="Heading4">
    <w:name w:val="heading 4"/>
    <w:basedOn w:val="Normal"/>
    <w:next w:val="Normal"/>
    <w:link w:val="Heading4Char"/>
    <w:uiPriority w:val="9"/>
    <w:semiHidden/>
    <w:unhideWhenUsed/>
    <w:qFormat/>
    <w:rsid w:val="00F235D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235D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23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5D9"/>
    <w:rPr>
      <w:rFonts w:asciiTheme="majorHAnsi" w:eastAsiaTheme="majorEastAsia" w:hAnsiTheme="majorHAnsi" w:cstheme="majorBidi"/>
      <w:color w:val="2E74B5" w:themeColor="accent1" w:themeShade="BF"/>
      <w:sz w:val="40"/>
      <w:szCs w:val="50"/>
    </w:rPr>
  </w:style>
  <w:style w:type="character" w:customStyle="1" w:styleId="Heading2Char">
    <w:name w:val="Heading 2 Char"/>
    <w:basedOn w:val="DefaultParagraphFont"/>
    <w:link w:val="Heading2"/>
    <w:uiPriority w:val="9"/>
    <w:semiHidden/>
    <w:rsid w:val="00F235D9"/>
    <w:rPr>
      <w:rFonts w:asciiTheme="majorHAnsi" w:eastAsiaTheme="majorEastAsia" w:hAnsiTheme="majorHAnsi" w:cstheme="majorBidi"/>
      <w:color w:val="2E74B5" w:themeColor="accent1" w:themeShade="BF"/>
      <w:sz w:val="32"/>
      <w:szCs w:val="40"/>
    </w:rPr>
  </w:style>
  <w:style w:type="character" w:customStyle="1" w:styleId="Heading3Char">
    <w:name w:val="Heading 3 Char"/>
    <w:basedOn w:val="DefaultParagraphFont"/>
    <w:link w:val="Heading3"/>
    <w:uiPriority w:val="9"/>
    <w:semiHidden/>
    <w:rsid w:val="00F235D9"/>
    <w:rPr>
      <w:rFonts w:eastAsiaTheme="majorEastAsia" w:cstheme="majorBidi"/>
      <w:color w:val="2E74B5" w:themeColor="accent1" w:themeShade="BF"/>
      <w:sz w:val="28"/>
      <w:szCs w:val="35"/>
    </w:rPr>
  </w:style>
  <w:style w:type="character" w:customStyle="1" w:styleId="Heading4Char">
    <w:name w:val="Heading 4 Char"/>
    <w:basedOn w:val="DefaultParagraphFont"/>
    <w:link w:val="Heading4"/>
    <w:uiPriority w:val="9"/>
    <w:semiHidden/>
    <w:rsid w:val="00F235D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235D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23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5D9"/>
    <w:rPr>
      <w:rFonts w:eastAsiaTheme="majorEastAsia" w:cstheme="majorBidi"/>
      <w:color w:val="272727" w:themeColor="text1" w:themeTint="D8"/>
    </w:rPr>
  </w:style>
  <w:style w:type="paragraph" w:styleId="Title">
    <w:name w:val="Title"/>
    <w:basedOn w:val="Normal"/>
    <w:next w:val="Normal"/>
    <w:link w:val="TitleChar"/>
    <w:uiPriority w:val="10"/>
    <w:qFormat/>
    <w:rsid w:val="00F235D9"/>
    <w:pPr>
      <w:spacing w:after="4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235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235D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235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235D9"/>
    <w:pPr>
      <w:spacing w:before="160"/>
      <w:jc w:val="center"/>
    </w:pPr>
    <w:rPr>
      <w:i/>
      <w:iCs/>
      <w:color w:val="404040" w:themeColor="text1" w:themeTint="BF"/>
    </w:rPr>
  </w:style>
  <w:style w:type="character" w:customStyle="1" w:styleId="QuoteChar">
    <w:name w:val="Quote Char"/>
    <w:basedOn w:val="DefaultParagraphFont"/>
    <w:link w:val="Quote"/>
    <w:uiPriority w:val="29"/>
    <w:rsid w:val="00F235D9"/>
    <w:rPr>
      <w:i/>
      <w:iCs/>
      <w:color w:val="404040" w:themeColor="text1" w:themeTint="BF"/>
    </w:rPr>
  </w:style>
  <w:style w:type="paragraph" w:styleId="ListParagraph">
    <w:name w:val="List Paragraph"/>
    <w:basedOn w:val="Normal"/>
    <w:uiPriority w:val="34"/>
    <w:qFormat/>
    <w:rsid w:val="00F235D9"/>
    <w:pPr>
      <w:ind w:left="720"/>
      <w:contextualSpacing/>
    </w:pPr>
  </w:style>
  <w:style w:type="character" w:styleId="IntenseEmphasis">
    <w:name w:val="Intense Emphasis"/>
    <w:basedOn w:val="DefaultParagraphFont"/>
    <w:uiPriority w:val="21"/>
    <w:qFormat/>
    <w:rsid w:val="00F235D9"/>
    <w:rPr>
      <w:i/>
      <w:iCs/>
      <w:color w:val="2E74B5" w:themeColor="accent1" w:themeShade="BF"/>
    </w:rPr>
  </w:style>
  <w:style w:type="paragraph" w:styleId="IntenseQuote">
    <w:name w:val="Intense Quote"/>
    <w:basedOn w:val="Normal"/>
    <w:next w:val="Normal"/>
    <w:link w:val="IntenseQuoteChar"/>
    <w:uiPriority w:val="30"/>
    <w:qFormat/>
    <w:rsid w:val="00F235D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235D9"/>
    <w:rPr>
      <w:i/>
      <w:iCs/>
      <w:color w:val="2E74B5" w:themeColor="accent1" w:themeShade="BF"/>
    </w:rPr>
  </w:style>
  <w:style w:type="character" w:styleId="IntenseReference">
    <w:name w:val="Intense Reference"/>
    <w:basedOn w:val="DefaultParagraphFont"/>
    <w:uiPriority w:val="32"/>
    <w:qFormat/>
    <w:rsid w:val="00F235D9"/>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F235D9"/>
    <w:pPr>
      <w:spacing w:after="0" w:line="240" w:lineRule="auto"/>
    </w:pPr>
    <w:rPr>
      <w:rFonts w:ascii="Consolas" w:hAnsi="Consolas"/>
      <w:sz w:val="20"/>
      <w:szCs w:val="25"/>
    </w:rPr>
  </w:style>
  <w:style w:type="character" w:customStyle="1" w:styleId="HTMLPreformattedChar">
    <w:name w:val="HTML Preformatted Char"/>
    <w:basedOn w:val="DefaultParagraphFont"/>
    <w:link w:val="HTMLPreformatted"/>
    <w:uiPriority w:val="99"/>
    <w:semiHidden/>
    <w:rsid w:val="00F235D9"/>
    <w:rPr>
      <w:rFonts w:ascii="Consolas" w:hAnsi="Consolas"/>
      <w:sz w:val="20"/>
      <w:szCs w:val="25"/>
    </w:rPr>
  </w:style>
  <w:style w:type="character" w:styleId="Hyperlink">
    <w:name w:val="Hyperlink"/>
    <w:basedOn w:val="DefaultParagraphFont"/>
    <w:uiPriority w:val="99"/>
    <w:unhideWhenUsed/>
    <w:rsid w:val="0095459A"/>
    <w:rPr>
      <w:color w:val="0563C1" w:themeColor="hyperlink"/>
      <w:u w:val="single"/>
    </w:rPr>
  </w:style>
  <w:style w:type="character" w:styleId="UnresolvedMention">
    <w:name w:val="Unresolved Mention"/>
    <w:basedOn w:val="DefaultParagraphFont"/>
    <w:uiPriority w:val="99"/>
    <w:semiHidden/>
    <w:unhideWhenUsed/>
    <w:rsid w:val="00954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6363">
      <w:bodyDiv w:val="1"/>
      <w:marLeft w:val="0"/>
      <w:marRight w:val="0"/>
      <w:marTop w:val="0"/>
      <w:marBottom w:val="0"/>
      <w:divBdr>
        <w:top w:val="none" w:sz="0" w:space="0" w:color="auto"/>
        <w:left w:val="none" w:sz="0" w:space="0" w:color="auto"/>
        <w:bottom w:val="none" w:sz="0" w:space="0" w:color="auto"/>
        <w:right w:val="none" w:sz="0" w:space="0" w:color="auto"/>
      </w:divBdr>
    </w:div>
    <w:div w:id="152644926">
      <w:bodyDiv w:val="1"/>
      <w:marLeft w:val="0"/>
      <w:marRight w:val="0"/>
      <w:marTop w:val="0"/>
      <w:marBottom w:val="0"/>
      <w:divBdr>
        <w:top w:val="none" w:sz="0" w:space="0" w:color="auto"/>
        <w:left w:val="none" w:sz="0" w:space="0" w:color="auto"/>
        <w:bottom w:val="none" w:sz="0" w:space="0" w:color="auto"/>
        <w:right w:val="none" w:sz="0" w:space="0" w:color="auto"/>
      </w:divBdr>
    </w:div>
    <w:div w:id="186721408">
      <w:bodyDiv w:val="1"/>
      <w:marLeft w:val="0"/>
      <w:marRight w:val="0"/>
      <w:marTop w:val="0"/>
      <w:marBottom w:val="0"/>
      <w:divBdr>
        <w:top w:val="none" w:sz="0" w:space="0" w:color="auto"/>
        <w:left w:val="none" w:sz="0" w:space="0" w:color="auto"/>
        <w:bottom w:val="none" w:sz="0" w:space="0" w:color="auto"/>
        <w:right w:val="none" w:sz="0" w:space="0" w:color="auto"/>
      </w:divBdr>
    </w:div>
    <w:div w:id="265355941">
      <w:bodyDiv w:val="1"/>
      <w:marLeft w:val="0"/>
      <w:marRight w:val="0"/>
      <w:marTop w:val="0"/>
      <w:marBottom w:val="0"/>
      <w:divBdr>
        <w:top w:val="none" w:sz="0" w:space="0" w:color="auto"/>
        <w:left w:val="none" w:sz="0" w:space="0" w:color="auto"/>
        <w:bottom w:val="none" w:sz="0" w:space="0" w:color="auto"/>
        <w:right w:val="none" w:sz="0" w:space="0" w:color="auto"/>
      </w:divBdr>
    </w:div>
    <w:div w:id="413010000">
      <w:bodyDiv w:val="1"/>
      <w:marLeft w:val="0"/>
      <w:marRight w:val="0"/>
      <w:marTop w:val="0"/>
      <w:marBottom w:val="0"/>
      <w:divBdr>
        <w:top w:val="none" w:sz="0" w:space="0" w:color="auto"/>
        <w:left w:val="none" w:sz="0" w:space="0" w:color="auto"/>
        <w:bottom w:val="none" w:sz="0" w:space="0" w:color="auto"/>
        <w:right w:val="none" w:sz="0" w:space="0" w:color="auto"/>
      </w:divBdr>
    </w:div>
    <w:div w:id="867790554">
      <w:bodyDiv w:val="1"/>
      <w:marLeft w:val="0"/>
      <w:marRight w:val="0"/>
      <w:marTop w:val="0"/>
      <w:marBottom w:val="0"/>
      <w:divBdr>
        <w:top w:val="none" w:sz="0" w:space="0" w:color="auto"/>
        <w:left w:val="none" w:sz="0" w:space="0" w:color="auto"/>
        <w:bottom w:val="none" w:sz="0" w:space="0" w:color="auto"/>
        <w:right w:val="none" w:sz="0" w:space="0" w:color="auto"/>
      </w:divBdr>
    </w:div>
    <w:div w:id="919292309">
      <w:bodyDiv w:val="1"/>
      <w:marLeft w:val="0"/>
      <w:marRight w:val="0"/>
      <w:marTop w:val="0"/>
      <w:marBottom w:val="0"/>
      <w:divBdr>
        <w:top w:val="none" w:sz="0" w:space="0" w:color="auto"/>
        <w:left w:val="none" w:sz="0" w:space="0" w:color="auto"/>
        <w:bottom w:val="none" w:sz="0" w:space="0" w:color="auto"/>
        <w:right w:val="none" w:sz="0" w:space="0" w:color="auto"/>
      </w:divBdr>
    </w:div>
    <w:div w:id="1218593358">
      <w:bodyDiv w:val="1"/>
      <w:marLeft w:val="0"/>
      <w:marRight w:val="0"/>
      <w:marTop w:val="0"/>
      <w:marBottom w:val="0"/>
      <w:divBdr>
        <w:top w:val="none" w:sz="0" w:space="0" w:color="auto"/>
        <w:left w:val="none" w:sz="0" w:space="0" w:color="auto"/>
        <w:bottom w:val="none" w:sz="0" w:space="0" w:color="auto"/>
        <w:right w:val="none" w:sz="0" w:space="0" w:color="auto"/>
      </w:divBdr>
    </w:div>
    <w:div w:id="1592157573">
      <w:bodyDiv w:val="1"/>
      <w:marLeft w:val="0"/>
      <w:marRight w:val="0"/>
      <w:marTop w:val="0"/>
      <w:marBottom w:val="0"/>
      <w:divBdr>
        <w:top w:val="none" w:sz="0" w:space="0" w:color="auto"/>
        <w:left w:val="none" w:sz="0" w:space="0" w:color="auto"/>
        <w:bottom w:val="none" w:sz="0" w:space="0" w:color="auto"/>
        <w:right w:val="none" w:sz="0" w:space="0" w:color="auto"/>
      </w:divBdr>
    </w:div>
    <w:div w:id="1659725238">
      <w:bodyDiv w:val="1"/>
      <w:marLeft w:val="0"/>
      <w:marRight w:val="0"/>
      <w:marTop w:val="0"/>
      <w:marBottom w:val="0"/>
      <w:divBdr>
        <w:top w:val="none" w:sz="0" w:space="0" w:color="auto"/>
        <w:left w:val="none" w:sz="0" w:space="0" w:color="auto"/>
        <w:bottom w:val="none" w:sz="0" w:space="0" w:color="auto"/>
        <w:right w:val="none" w:sz="0" w:space="0" w:color="auto"/>
      </w:divBdr>
    </w:div>
    <w:div w:id="1746100949">
      <w:bodyDiv w:val="1"/>
      <w:marLeft w:val="0"/>
      <w:marRight w:val="0"/>
      <w:marTop w:val="0"/>
      <w:marBottom w:val="0"/>
      <w:divBdr>
        <w:top w:val="none" w:sz="0" w:space="0" w:color="auto"/>
        <w:left w:val="none" w:sz="0" w:space="0" w:color="auto"/>
        <w:bottom w:val="none" w:sz="0" w:space="0" w:color="auto"/>
        <w:right w:val="none" w:sz="0" w:space="0" w:color="auto"/>
      </w:divBdr>
    </w:div>
    <w:div w:id="207253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ngkokyai.metro.police.go.th"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virakran sakkamard</dc:creator>
  <cp:keywords/>
  <dc:description/>
  <cp:lastModifiedBy>virakran sakkamard</cp:lastModifiedBy>
  <cp:revision>2</cp:revision>
  <cp:lastPrinted>2025-04-24T10:45:00Z</cp:lastPrinted>
  <dcterms:created xsi:type="dcterms:W3CDTF">2026-06-23T06:53:00Z</dcterms:created>
  <dcterms:modified xsi:type="dcterms:W3CDTF">2026-06-23T06:53:00Z</dcterms:modified>
</cp:coreProperties>
</file>